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CC02">
      <w:pPr>
        <w:spacing w:before="120"/>
        <w:ind w:firstLine="720"/>
        <w:jc w:val="center"/>
        <w:rPr>
          <w:rFonts w:hint="default" w:cs="Times New Roman"/>
          <w:b/>
          <w:color w:val="000080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000080"/>
        </w:rPr>
        <w:t>С</w:t>
      </w:r>
      <w:r>
        <w:rPr>
          <w:rFonts w:hint="default" w:cs="Times New Roman"/>
          <w:b/>
          <w:color w:val="000080"/>
          <w:lang w:val="ru-RU"/>
        </w:rPr>
        <w:t>водный отчет о</w:t>
      </w:r>
      <w:r>
        <w:rPr>
          <w:rFonts w:hint="default" w:ascii="Times New Roman" w:hAnsi="Times New Roman" w:cs="Times New Roman"/>
          <w:b/>
          <w:color w:val="000080"/>
        </w:rPr>
        <w:t xml:space="preserve"> финансирования </w:t>
      </w:r>
      <w:r>
        <w:rPr>
          <w:rFonts w:hint="default" w:cs="Times New Roman"/>
          <w:b/>
          <w:color w:val="000080"/>
          <w:lang w:val="ru-RU"/>
        </w:rPr>
        <w:t xml:space="preserve">и итогах реализации </w:t>
      </w:r>
      <w:r>
        <w:rPr>
          <w:rFonts w:hint="default" w:ascii="Times New Roman" w:hAnsi="Times New Roman" w:cs="Times New Roman"/>
          <w:b/>
          <w:color w:val="000080"/>
        </w:rPr>
        <w:t xml:space="preserve"> муниципальных программ</w:t>
      </w:r>
      <w:r>
        <w:rPr>
          <w:rFonts w:hint="default" w:cs="Times New Roman"/>
          <w:b/>
          <w:color w:val="000080"/>
          <w:lang w:val="ru-RU"/>
        </w:rPr>
        <w:t xml:space="preserve"> </w:t>
      </w:r>
    </w:p>
    <w:p w14:paraId="3712E170">
      <w:pPr>
        <w:spacing w:before="120"/>
        <w:ind w:firstLine="720"/>
        <w:jc w:val="center"/>
        <w:rPr>
          <w:rFonts w:hint="default" w:ascii="Times New Roman" w:hAnsi="Times New Roman" w:cs="Times New Roman"/>
          <w:color w:val="000080"/>
        </w:rPr>
      </w:pPr>
      <w:r>
        <w:rPr>
          <w:rFonts w:hint="default" w:cs="Times New Roman"/>
          <w:b/>
          <w:color w:val="000080"/>
          <w:lang w:val="ru-RU"/>
        </w:rPr>
        <w:t>Богородского муниципального округа Нижегородской области за</w:t>
      </w:r>
      <w:r>
        <w:rPr>
          <w:rFonts w:hint="default" w:ascii="Times New Roman" w:hAnsi="Times New Roman" w:cs="Times New Roman"/>
          <w:b/>
          <w:color w:val="000080"/>
        </w:rPr>
        <w:t xml:space="preserve"> 20</w:t>
      </w:r>
      <w:r>
        <w:rPr>
          <w:rFonts w:hint="default" w:ascii="Times New Roman" w:hAnsi="Times New Roman" w:cs="Times New Roman"/>
          <w:b/>
          <w:color w:val="000080"/>
          <w:lang w:val="ru-RU"/>
        </w:rPr>
        <w:t>2</w:t>
      </w:r>
      <w:r>
        <w:rPr>
          <w:rFonts w:hint="default" w:cs="Times New Roman"/>
          <w:b/>
          <w:color w:val="000080"/>
          <w:lang w:val="ru-RU"/>
        </w:rPr>
        <w:t>5</w:t>
      </w:r>
      <w:r>
        <w:rPr>
          <w:rFonts w:hint="default" w:ascii="Times New Roman" w:hAnsi="Times New Roman" w:cs="Times New Roman"/>
          <w:b/>
          <w:color w:val="000080"/>
        </w:rPr>
        <w:t>год</w:t>
      </w:r>
    </w:p>
    <w:p w14:paraId="7CC9E711">
      <w:pPr>
        <w:widowControl w:val="0"/>
        <w:adjustRightInd w:val="0"/>
        <w:ind w:firstLine="709"/>
        <w:jc w:val="right"/>
        <w:rPr>
          <w:rFonts w:hint="default" w:ascii="Times New Roman" w:hAnsi="Times New Roman" w:cs="Times New Roman"/>
          <w:b/>
          <w:bCs/>
          <w:color w:val="000080"/>
        </w:rPr>
      </w:pPr>
    </w:p>
    <w:tbl>
      <w:tblPr>
        <w:tblStyle w:val="3"/>
        <w:tblW w:w="15303" w:type="dxa"/>
        <w:tblInd w:w="-4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353"/>
        <w:gridCol w:w="2129"/>
        <w:gridCol w:w="1831"/>
        <w:gridCol w:w="1620"/>
        <w:gridCol w:w="900"/>
        <w:gridCol w:w="5758"/>
      </w:tblGrid>
      <w:tr w14:paraId="12567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tblHeader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 w14:paraId="139C774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№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 w14:paraId="6C0979C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 xml:space="preserve">Наименование муниципальной программы               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 w14:paraId="191ADE7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 w14:paraId="0480B5B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Плановое значение на 20</w:t>
            </w: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  <w:lang w:val="ru-RU"/>
              </w:rPr>
              <w:t>2</w:t>
            </w:r>
            <w:r>
              <w:rPr>
                <w:rFonts w:hint="default" w:cs="Times New Roman"/>
                <w:b/>
                <w:bCs/>
                <w:color w:val="000080"/>
                <w:sz w:val="20"/>
                <w:szCs w:val="20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год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 w14:paraId="0ED870F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Фактическое значение за 20</w:t>
            </w: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  <w:lang w:val="ru-RU"/>
              </w:rPr>
              <w:t>2</w:t>
            </w:r>
            <w:r>
              <w:rPr>
                <w:rFonts w:hint="default" w:cs="Times New Roman"/>
                <w:b/>
                <w:bCs/>
                <w:color w:val="000080"/>
                <w:sz w:val="20"/>
                <w:szCs w:val="20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 w14:paraId="081F738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% выполнения</w:t>
            </w:r>
          </w:p>
        </w:tc>
        <w:tc>
          <w:tcPr>
            <w:tcW w:w="5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 w14:paraId="784E3A8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8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000080"/>
                <w:sz w:val="22"/>
                <w:szCs w:val="22"/>
                <w:lang w:val="ru-RU"/>
              </w:rPr>
              <w:t>Фактически достигнутые результаты (по информации муниципального заказчика-координатора)</w:t>
            </w:r>
          </w:p>
        </w:tc>
      </w:tr>
      <w:tr w14:paraId="37EE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10FF30">
            <w:pPr>
              <w:jc w:val="center"/>
              <w:rPr>
                <w:rFonts w:hint="default"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 w:val="0"/>
                <w:i/>
                <w:sz w:val="20"/>
                <w:szCs w:val="20"/>
                <w:lang w:val="ru-RU"/>
              </w:rPr>
              <w:t>ВСЕГО ф</w:t>
            </w:r>
            <w:r>
              <w:rPr>
                <w:rFonts w:hint="default" w:ascii="Times New Roman" w:hAnsi="Times New Roman" w:cs="Times New Roman"/>
                <w:b/>
                <w:bCs w:val="0"/>
                <w:i/>
                <w:sz w:val="20"/>
                <w:szCs w:val="20"/>
              </w:rPr>
              <w:t>инансирование муниципальных программ Богородского муниципального</w:t>
            </w:r>
            <w:r>
              <w:rPr>
                <w:rFonts w:hint="default" w:ascii="Times New Roman" w:hAnsi="Times New Roman" w:cs="Times New Roman"/>
                <w:b/>
                <w:bCs w:val="0"/>
                <w:i/>
                <w:sz w:val="20"/>
                <w:szCs w:val="20"/>
                <w:lang w:val="ru-RU"/>
              </w:rPr>
              <w:t xml:space="preserve"> округа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A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7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4414847,08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A5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4262314,26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DB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96,5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E20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9DA42F">
            <w:pPr>
              <w:rPr>
                <w:rFonts w:hint="default"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C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Местный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8F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1700498,54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6C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1665542,35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57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97,9</w:t>
            </w: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1C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D5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2AFA27">
            <w:pPr>
              <w:rPr>
                <w:rFonts w:hint="default"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8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Областной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DB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1994718,99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D7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1944413,10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5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97,5</w:t>
            </w: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10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1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7C05FD">
            <w:pPr>
              <w:rPr>
                <w:rFonts w:hint="default"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A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54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569392,5</w:t>
            </w: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8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569392,5</w:t>
            </w: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1C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D9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DF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7A93C7">
            <w:pPr>
              <w:rPr>
                <w:rFonts w:hint="default"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2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15"/>
                <w:szCs w:val="15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CF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150237,03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DB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82966,30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 w:val="0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55,2</w:t>
            </w:r>
          </w:p>
        </w:tc>
        <w:tc>
          <w:tcPr>
            <w:tcW w:w="5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A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DC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FF075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1. Муниципальная программа "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</w:rPr>
              <w:t>Развитие образования Богородского муниципального округа Нижегородской области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E1DF5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91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2.024.130,78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B4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1.962.929,04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6F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97,0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3F8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Доступность дошкольного образования (отношение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5 - 7 лет, обучающихся в образовательных организациях) сохранится на уровне 100%- 100%</w:t>
            </w:r>
          </w:p>
          <w:p w14:paraId="3567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 учащихся -  победителей и призеров муниципального этапа всероссийской олимпиады школьников-20%</w:t>
            </w:r>
          </w:p>
          <w:p w14:paraId="13625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 общего образования -73 %</w:t>
            </w:r>
          </w:p>
          <w:p w14:paraId="0581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образовательных организаций, в которых введены штатные единицы по должности - Советник директора по воспитанию и взаимодействию с детскими общественными объединениями в общеобразовательных организациях-100 %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132C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- 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100 %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1BDF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функционирующих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 не менее 10%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- 11,1%</w:t>
            </w:r>
          </w:p>
          <w:p w14:paraId="2D73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детей-инвалидов, детей с туберкулезной интоксикацией, детей-сирот и детей, оставшихся без попечения родителей, получающих услуги по присмотру и уходу за счет средств областного бюджета в общей численности детей данной категории-100%</w:t>
            </w:r>
          </w:p>
          <w:p w14:paraId="763C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общеобразовательных организаций на базе которых созданы Центры образования цифрового и гуманитарных профилей "Точка роста" к общему количеству муниципальных образовательных организаций не менее -16%- 16%</w:t>
            </w:r>
          </w:p>
          <w:p w14:paraId="46369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получающих бесплатное двухразовое питание в общей численности детей данной категории-100%</w:t>
            </w:r>
          </w:p>
          <w:p w14:paraId="3657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педагогических работников общеобразовательных организаций, получающих ежемесячное денежное вознаграждение за классное руководство (из расчета 10 тысяч рублей в месяц с учетом страховых взносов в государственные внебюджетные фонды, а также районных коэффициентов и процентных надбавок в общей численности педагогических работников такой категории)-100%</w:t>
            </w:r>
          </w:p>
          <w:p w14:paraId="0F0F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педагогических и иных работников муниципальных образовательных организаций, получающих компенсацию за подготовку и проведение государственной итоговой аттестации по образовательным программам основного общего и среднего общего образования, в общей численности педагогических и иных работников такой категории-100%</w:t>
            </w:r>
          </w:p>
          <w:p w14:paraId="03ED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40" w:firstLineChars="200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-80 %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41205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Охват детей в возрасте 5 - 18 лет, охваченных дополнительными общеобразовательными  общеразвивающими программами технической и естественнонаучной направленности (удельный вес численности детей, получающих услуги дополнительного образования, в общей численности детей в возрасте 5 - 18 лет)-41 %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00AC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детей в возрасте 5-18 лет, которые обеспечены сертификатами персонифицированного финансирования дополнительного образования в общей численности детей в возрасте 5-18 лет-28%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6DC0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Охват организованными формами отдыха и оздоровления детей школьного возраста  -77%</w:t>
            </w:r>
          </w:p>
          <w:p w14:paraId="7D3B9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 xml:space="preserve">Доля образовательных организаций ежегодно организующих для общественности представление публичного отчета 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100 %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01D23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 xml:space="preserve">Доля обучающихся в образовательных организациях,  имеющих соответствие результатов ВПР и отметки за учебный год по соответствующим общеобразовательным предметам, составит 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90 %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0AA6D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потребителей, полностью удовлетворенных качеством образовательных услуг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93,6 %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6500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учащихся, принявших участие в районных, областных мероприятиях военно-патриотического направления, от общего числа учащихся образовательных организаций -97 %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0B183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образовательных организаций, участвующих в реализации подпрограммы патриотического  воспитания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- 100%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7BD8A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образовательных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образовательных организаций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- 18,7 %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51AE5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Удельный вес численности руководителей муниципальных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образовательных организаций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- 100 %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6E32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67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педагогических работников с высшей и первой квалификационной категорией в общей численности аттестованных педагогических работников -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83%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2AF2B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общеобразовательных организаций, в которых реализованы мероприятия по исполнению требований антитеррористической защищенности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- 100 %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385E6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Доля образовательных организаций, принявших участие в реализации проекта инициативного бюджетирования, в общей численности образовательных организаций-5,5%</w:t>
            </w:r>
          </w:p>
          <w:p w14:paraId="18F98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>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Про-граммы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 xml:space="preserve"> - 100 %</w:t>
            </w:r>
            <w:r>
              <w:rPr>
                <w:rFonts w:hint="default"/>
                <w:color w:val="000000"/>
                <w:sz w:val="22"/>
                <w:szCs w:val="22"/>
                <w:lang w:val="ru-RU" w:eastAsia="zh-CN"/>
              </w:rPr>
              <w:tab/>
            </w:r>
          </w:p>
        </w:tc>
      </w:tr>
      <w:tr w14:paraId="25E8A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D67A09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F69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A9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574.299,51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E2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572.510,99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7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99,7</w:t>
            </w:r>
          </w:p>
        </w:tc>
        <w:tc>
          <w:tcPr>
            <w:tcW w:w="5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18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2C8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8E3352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5BC0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5E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1.221.020,14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9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1.183.847,37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4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97,0</w:t>
            </w:r>
          </w:p>
        </w:tc>
        <w:tc>
          <w:tcPr>
            <w:tcW w:w="5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1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2D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EA8652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EBC5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EC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140.139,22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8F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140.139,22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70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7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82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C2198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E5F7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8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88.671,91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A2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66.431,46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73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74,9</w:t>
            </w:r>
          </w:p>
        </w:tc>
        <w:tc>
          <w:tcPr>
            <w:tcW w:w="5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B4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E7C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3F766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2. Муниципальная программа "Социальная поддержка граждан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округа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Нижегородской области"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C2599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16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17.180,64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56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17 145,03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E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99,8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1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center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семей с детьми, включенных в совместные социально значимые мероприятия, проводимые за счет подпрограммы -14 %</w:t>
            </w: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ab/>
            </w:r>
          </w:p>
          <w:p w14:paraId="22F6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семей погибших участников специальной военной операции, принявших участие в социально-значимых мероприятиях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- </w:t>
            </w:r>
            <w:r>
              <w:rPr>
                <w:sz w:val="22"/>
                <w:szCs w:val="22"/>
              </w:rPr>
              <w:t>100%;</w:t>
            </w:r>
          </w:p>
          <w:p w14:paraId="1927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center"/>
              <w:rPr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sz w:val="22"/>
                <w:szCs w:val="22"/>
              </w:rPr>
              <w:t>доля обеспеченных новогодними подарками детей работников органов местного самоуправления Богородского муниципального округа Нижегородской области, муниципальных учреждений (до 13 лет включительно), детей находящихся под опекой (попечительством), детей из социально-незащищенных семей (многодетные семьи, семьи  в которых родители являются инвалидами и имеющие детей-инвалидов), военнослужащих (в т.ч. погибших), войсковых частей, расположенных на территории Богородского муниципального округа, детей участников специальной военной операции (в т.ч. погибших), проживающих в пунктах временного размещения на территории Богородского муниципального округа (100%);</w:t>
            </w:r>
          </w:p>
          <w:p w14:paraId="23B1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center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пожилых граждан, принявших участие в общественно и социально значимых мероприятиях и в мероприятиях, предназначенных для реализации социокультурных потребностей пожилых граждан, от общего количества граждан проживающих на территории Богородского муниципального округа Нижегородской области, получающих пенсию по старости- 5%</w:t>
            </w:r>
          </w:p>
          <w:p w14:paraId="068D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center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ветеранов боевых действий, принявших участие в районных, общественных и социально значимых мероприятиях от общего числа ветеранов боевых действий -50 %</w:t>
            </w:r>
          </w:p>
          <w:p w14:paraId="7152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center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допризывной молодежи, повысившей качественный уровень своей подготовки к службе в рядах ВС РФ через участие в соревнованиях и конкурсах военно-патриотического характера -50%</w:t>
            </w:r>
          </w:p>
          <w:p w14:paraId="4B9A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660" w:firstLineChars="300"/>
              <w:jc w:val="both"/>
              <w:textAlignment w:val="center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инвалидов, проживающих на территории Богородского муниципального округа Нижегородской области</w:t>
            </w: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- 90 % (от опрошенных)</w:t>
            </w: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ab/>
            </w:r>
          </w:p>
        </w:tc>
      </w:tr>
      <w:tr w14:paraId="449FF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13B685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C44E0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8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17.150,64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E3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17.115,03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7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99,8</w:t>
            </w: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5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99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791F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2EDBD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0E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17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E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3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0A3484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F056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0C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43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5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3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FBD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2325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0BE6D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84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BB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0E3114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E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D8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46CD7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3. Муниципальная программа "Обеспечение населения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 Нижегородской области доступным и комфортным жильем"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C7B40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1A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393837,79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E3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393837,79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16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3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17" w:leftChars="7" w:firstLine="528" w:firstLineChars="240"/>
              <w:jc w:val="both"/>
              <w:textAlignment w:val="auto"/>
              <w:rPr>
                <w:rFonts w:hint="default" w:ascii="Times New Roman" w:hAnsi="Times New Roman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 w:ascii="Times New Roman" w:hAnsi="Times New Roman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zh-CN"/>
              </w:rPr>
              <w:t>Обеспеченность выплатами молодых семей</w:t>
            </w: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zh-CN"/>
              </w:rPr>
              <w:t xml:space="preserve"> -50</w:t>
            </w:r>
            <w:r>
              <w:rPr>
                <w:rFonts w:hint="default" w:ascii="Times New Roman" w:hAnsi="Times New Roman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zh-CN"/>
              </w:rPr>
              <w:t>%</w:t>
            </w:r>
          </w:p>
          <w:p w14:paraId="27A4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17" w:leftChars="7" w:firstLine="528" w:firstLineChars="240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  <w:t>Доля расселённых домов-81 %</w:t>
            </w:r>
          </w:p>
          <w:p w14:paraId="5235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17" w:leftChars="7" w:firstLine="528" w:firstLineChars="240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  <w:t>Число переселённых жителей в результате выполнения Программы- 105 чел.</w:t>
            </w:r>
          </w:p>
          <w:p w14:paraId="357D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17" w:leftChars="7" w:firstLine="528" w:firstLineChars="240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 w:ascii="Times New Roman" w:hAnsi="Times New Roman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zh-CN"/>
              </w:rPr>
              <w:t>Площадь аварийных домов, жители которых расселены в результате выполнения Программы</w:t>
            </w: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zh-CN"/>
              </w:rPr>
              <w:t xml:space="preserve"> -1915,5 кв.м.</w:t>
            </w:r>
          </w:p>
          <w:p w14:paraId="04D1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17" w:leftChars="7" w:firstLine="528" w:firstLineChars="240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  <w:t>Число переселённых жителей в результате выполнения программы- 105 чел.</w:t>
            </w:r>
          </w:p>
          <w:p w14:paraId="4EFF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  <w:t>Количество граждан, участников программы, улучшивших жилищные условия-20чел;</w:t>
            </w:r>
          </w:p>
          <w:p w14:paraId="41A6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  <w:t>Площадь приобретённых (построенных) участниками программы жилых помещений-613,7 кв.м;</w:t>
            </w:r>
          </w:p>
          <w:p w14:paraId="42F88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  <w:t xml:space="preserve"> Количество граждан-утративших жилые помещения в результате пожаров, участников Подпрограммы, улучшивших жилищные условия-1 чел;</w:t>
            </w:r>
          </w:p>
          <w:p w14:paraId="6B035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</w:pPr>
            <w:r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  <w:t xml:space="preserve"> Площадь приобретённых жилых помещений для граждан, утративших жилые помещения в результате пожара, по договорам социального найма-30,3кв.м.</w:t>
            </w:r>
          </w:p>
          <w:p w14:paraId="2D74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/>
                <w:b w:val="0"/>
                <w:i w:val="0"/>
                <w:strike w:val="0"/>
                <w:dstrike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  <w:lang w:val="ru-RU" w:eastAsia="zh-CN"/>
              </w:rPr>
            </w:pPr>
          </w:p>
        </w:tc>
      </w:tr>
      <w:tr w14:paraId="249D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C1658B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2AE8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8A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081,01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0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081,01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6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7D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52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9CAFBD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861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6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733,62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E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733,62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91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1A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F5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2F3399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472D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0D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023,16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ED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023,16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39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C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64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178743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563D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99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E9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FD2D29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FC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6C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0BAC1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4. Муниципальная программа Развитие культуры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 Нижегородской области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E39C4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9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249.652,15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8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248.311,80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3194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99,46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5994E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Уровень фактической обеспеченности учреждениями культуры в городском округе от нормативной потребности:</w:t>
            </w:r>
          </w:p>
          <w:p w14:paraId="608F13A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- клубами и учреждениями клубного типа-88%,</w:t>
            </w:r>
          </w:p>
          <w:p w14:paraId="73CC5F6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- библиотеками -100%</w:t>
            </w:r>
          </w:p>
          <w:p w14:paraId="7DE3FDE8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Доля разработанной рекламно-полиграфической продукции в сфере туризма -100 %</w:t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ab/>
            </w:r>
          </w:p>
          <w:p w14:paraId="0FAD102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Увеличение числености участников культурно-массовых мероприятий по сравнению с пред.годом -0,02 %</w:t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ab/>
            </w:r>
          </w:p>
          <w:p w14:paraId="7CEF0B3F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Доля пользователей библиотек процент к пред.году - 1,9%</w:t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ab/>
            </w:r>
          </w:p>
          <w:p w14:paraId="035ED45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Доля посетителей музея в общей численности населения Богородского муниципального округа</w:t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- 27,61 %</w:t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ab/>
            </w:r>
          </w:p>
          <w:p w14:paraId="59190B8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auto"/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Доля обучающих, принимающих участие в олимпиадах, конкурсах, фестивалях, смотрах, концертах</w:t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- 51%</w:t>
            </w: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ab/>
            </w:r>
          </w:p>
          <w:p w14:paraId="2989BB1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0" w:firstLineChars="15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 w:eastAsia="zh-CN"/>
              </w:rPr>
              <w:t>Доля мероприятий, по сохранению и развитию материально-технической базы -90%</w:t>
            </w:r>
          </w:p>
        </w:tc>
      </w:tr>
      <w:tr w14:paraId="61EA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9DBA73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166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D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215.726,07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92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215.706,00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EEF5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99,99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6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F4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7FFB3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0B52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F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5.935,02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4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5.935,02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2C09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FA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C1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D6EF9C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881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9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10.135,94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ED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10.135,94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9E05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B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62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58547C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0DB6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0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17.855,12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16.534,84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8F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92,61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A3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E5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9F196">
            <w:pPr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5. Муниципальная программа "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</w:rPr>
              <w:t xml:space="preserve">Развитие физической культуры и спорта </w:t>
            </w:r>
          </w:p>
          <w:p w14:paraId="1DECA2F1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</w:rPr>
              <w:t>в Богородском муниципальном округе Нижегородской област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и"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E5BC6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6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126.529,03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6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126.315,39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4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</w:t>
            </w: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8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76E11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 w:firstLine="528" w:firstLineChars="240"/>
              <w:jc w:val="both"/>
              <w:textAlignment w:val="auto"/>
              <w:rPr>
                <w:rStyle w:val="7"/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>Доля граждан Богородского муниципального округа Нижегородской области, систематически занимающихся физической культурой и спортом, в общей численности</w:t>
            </w: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ab/>
            </w: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>-57,9 %</w:t>
            </w:r>
          </w:p>
          <w:p w14:paraId="111768B0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 w:firstLine="528" w:firstLineChars="240"/>
              <w:jc w:val="both"/>
              <w:textAlignment w:val="auto"/>
              <w:rPr>
                <w:rStyle w:val="7"/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>Рост количества соревнований в Богородском муниципальном округе Нижегородской области-16.8%</w:t>
            </w:r>
          </w:p>
          <w:p w14:paraId="482DF87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 w:firstLine="528" w:firstLineChars="240"/>
              <w:jc w:val="both"/>
              <w:textAlignment w:val="auto"/>
              <w:rPr>
                <w:rStyle w:val="7"/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>Рост числа участников спортивных мероприятий областного, регионального, всероссийского уровня-22%</w:t>
            </w:r>
          </w:p>
          <w:p w14:paraId="02C16DB2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 w:firstLine="528" w:firstLineChars="240"/>
              <w:jc w:val="both"/>
              <w:textAlignment w:val="auto"/>
              <w:rPr>
                <w:rStyle w:val="7"/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>Рост числа спортсменов, выполнивших нормативы спортивных разрядов, по отношению к предыдущему году -</w:t>
            </w: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ab/>
            </w: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>2,6%</w:t>
            </w: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ab/>
            </w:r>
          </w:p>
          <w:p w14:paraId="38C14038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 w:firstLine="528" w:firstLineChars="240"/>
              <w:jc w:val="both"/>
              <w:textAlignment w:val="auto"/>
              <w:rPr>
                <w:rStyle w:val="7"/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>Доля детей, посещающих спортивные секции организаций всех форм собственности в общей численности детей в возрасте от 0 до 18 лет-58%</w:t>
            </w:r>
          </w:p>
          <w:p w14:paraId="7945679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leftChars="0" w:right="0" w:firstLine="528" w:firstLineChars="240"/>
              <w:jc w:val="both"/>
              <w:textAlignment w:val="auto"/>
              <w:rPr>
                <w:rStyle w:val="7"/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>Увеличение спортивных сооружений всех форм собственности -9 ед.</w:t>
            </w:r>
            <w:r>
              <w:rPr>
                <w:rStyle w:val="7"/>
                <w:rFonts w:hint="default"/>
                <w:sz w:val="22"/>
                <w:szCs w:val="22"/>
                <w:lang w:val="ru-RU" w:eastAsia="zh-CN"/>
              </w:rPr>
              <w:tab/>
            </w:r>
          </w:p>
        </w:tc>
      </w:tr>
      <w:tr w14:paraId="23167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F1E5B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F04E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4A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126.429,03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C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126.215,39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0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8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9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766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8565C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8B16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F0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1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780E1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F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72D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E6F038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9C0F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7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1B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87D3A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E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DE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2C22C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9EF7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1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BA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4021E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1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AB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424893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6. Муниципальная программа "Развитие агропромышленного комплекса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а Нижегородской области" 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FADC3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2064F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134.732,92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7B6B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highlight w:val="yellow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133.754,37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FBD45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99,3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4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 w:eastAsia="zh-CN"/>
              </w:rPr>
              <w:t>Индекс производства продукции сельского хозяйства в сельскохозяйственных организациях, крестьянских (фермерских) хозяйствах, включая индивидуальных предпринимателей (в сопоставимых ценах)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b w:val="0"/>
                <w:bCs w:val="0"/>
                <w:i w:val="0"/>
                <w:iCs w:val="0"/>
                <w:sz w:val="22"/>
                <w:szCs w:val="22"/>
                <w:lang w:val="ru-RU" w:eastAsia="zh-CN"/>
              </w:rPr>
              <w:t>106,5 %</w:t>
            </w:r>
          </w:p>
          <w:p w14:paraId="271B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 w:eastAsia="zh-CN"/>
              </w:rPr>
              <w:t>Индекс физического объема инвестиций в основной капитал сельского хозяйства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b w:val="0"/>
                <w:bCs w:val="0"/>
                <w:i w:val="0"/>
                <w:iCs w:val="0"/>
                <w:sz w:val="22"/>
                <w:szCs w:val="22"/>
                <w:lang w:val="ru-RU" w:eastAsia="zh-CN"/>
              </w:rPr>
              <w:t>120,6%</w:t>
            </w:r>
          </w:p>
        </w:tc>
      </w:tr>
      <w:tr w14:paraId="2830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31351F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4DD2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A81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10.668,79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CE48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10.665,97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09FD75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99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3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440" w:firstLineChars="20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B2E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3B755D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181E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CAF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86.842,73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B87C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85.867,00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23FD1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98,9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E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440" w:firstLineChars="20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BEE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5EA0E7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B5AB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2085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37.221,40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E1F5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37.221,40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45120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8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440" w:firstLineChars="20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D86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4C8553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542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0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A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6318BE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0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440" w:firstLineChars="20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1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9C008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7. Муниципальная программа "Управление муниципальными финансами и муниципальным долгом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 Нижегородской области"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01337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1A43F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45.166,55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1A27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44.126,89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3B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97,7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CFEA3">
            <w:pPr>
              <w:suppressAutoHyphens/>
              <w:ind w:left="0" w:leftChars="0" w:right="0" w:firstLine="480" w:firstLineChars="0"/>
              <w:jc w:val="both"/>
              <w:rPr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Доля расходов бюджета муниципального округа, формируемых в рамках муниципальных программ в общем объеме бюджета муниципального округа (без учета субвенций  на исполнение делегируемых полномочий)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sz w:val="22"/>
                <w:szCs w:val="22"/>
                <w:lang w:val="ru-RU" w:eastAsia="zh-CN"/>
              </w:rPr>
              <w:t>- 95,3%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sz w:val="22"/>
                <w:szCs w:val="22"/>
                <w:lang w:val="ru-RU" w:eastAsia="zh-CN"/>
              </w:rPr>
              <w:tab/>
            </w:r>
          </w:p>
          <w:p w14:paraId="1A9C2706">
            <w:pPr>
              <w:suppressAutoHyphens/>
              <w:ind w:left="0" w:leftChars="0" w:right="0" w:firstLine="480" w:firstLineChars="0"/>
              <w:jc w:val="both"/>
              <w:rPr>
                <w:rFonts w:hint="default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lang w:val="ru-RU" w:eastAsia="zh-CN"/>
              </w:rPr>
              <w:t>Удельный  вес муниципального долга по отношению к доходам бюджета  без  учета безвозмездных поступлений  из федерального и областного бюджетов</w:t>
            </w:r>
            <w:r>
              <w:rPr>
                <w:rFonts w:hint="default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sz w:val="22"/>
                <w:szCs w:val="22"/>
                <w:lang w:val="ru-RU" w:eastAsia="zh-CN"/>
              </w:rPr>
              <w:t>- 0 %</w:t>
            </w:r>
          </w:p>
        </w:tc>
      </w:tr>
      <w:tr w14:paraId="2E2C4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BF5F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C53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1C24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45.166,55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0EC12E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44.126,89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97,7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6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57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4E000B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D53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F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B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86E8C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D5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B9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EEC90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756B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9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B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36DF6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1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5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3B2C63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0201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E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F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6CF3A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2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6B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B5D4E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</w:rPr>
              <w:t xml:space="preserve">8. Муниципальная программа "Управление муниципальным имуществом и земельными ресурсами Богородского муниципального округа Нижегородской области" 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EF7B0C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4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59208,24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B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47311,49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3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79,9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928241D">
            <w:pPr>
              <w:keepNext w:val="0"/>
              <w:keepLines w:val="0"/>
              <w:widowControl/>
              <w:suppressLineNumbers w:val="0"/>
              <w:ind w:left="0" w:leftChars="0" w:firstLine="719" w:firstLineChars="327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Исполнение плана по сбору неналоговых доходов от управления и распоряжения муниципальным имуществом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- 158,6 %</w:t>
            </w:r>
          </w:p>
          <w:p w14:paraId="57120871">
            <w:pPr>
              <w:keepNext w:val="0"/>
              <w:keepLines w:val="0"/>
              <w:widowControl/>
              <w:suppressLineNumbers w:val="0"/>
              <w:ind w:left="0" w:leftChars="0" w:firstLine="719" w:firstLineChars="327"/>
              <w:jc w:val="left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вовлеченных в хозяйственный оборот земельных участков от общего количества сформированных и поставленных на учет земельных участков -100%</w:t>
            </w:r>
          </w:p>
          <w:p w14:paraId="4FD8CE6F">
            <w:pPr>
              <w:keepNext w:val="0"/>
              <w:keepLines w:val="0"/>
              <w:widowControl/>
              <w:suppressLineNumbers w:val="0"/>
              <w:ind w:left="0" w:leftChars="0" w:firstLine="719" w:firstLineChars="327"/>
              <w:jc w:val="left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безубыточных муниципальных предприятий Богородского муниципального округа от общего количества таких предприятий - 0%</w:t>
            </w:r>
          </w:p>
          <w:p w14:paraId="6E0EB1DA">
            <w:pPr>
              <w:keepNext w:val="0"/>
              <w:keepLines w:val="0"/>
              <w:widowControl/>
              <w:suppressLineNumbers w:val="0"/>
              <w:ind w:left="0" w:leftChars="0" w:firstLine="719" w:firstLineChars="327"/>
              <w:jc w:val="left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объектов культурного наследия, в отношении которых осуществлена государственная регистрация права муниципальной собственности, к общему количеству объектов культурного наследия, расположенных на территории Богородского муниципального округа Нижегородской области и являющихся муниципальной собственностью -100%</w:t>
            </w:r>
          </w:p>
          <w:p w14:paraId="5BC388D8">
            <w:pPr>
              <w:keepNext w:val="0"/>
              <w:keepLines w:val="0"/>
              <w:widowControl/>
              <w:suppressLineNumbers w:val="0"/>
              <w:ind w:left="0" w:leftChars="0" w:firstLine="719" w:firstLineChars="327"/>
              <w:jc w:val="left"/>
              <w:textAlignment w:val="bottom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объектов культурного наследия, в отношении которых оформлены охранные обязательства, к общему количеству объектов культурного наследия, расположенных на территории Богородского муниципального района Нижегородской области и являющихся муниципальной собственностью - 100%</w:t>
            </w:r>
          </w:p>
        </w:tc>
      </w:tr>
      <w:tr w14:paraId="74436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FB3507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38F2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6F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38196,26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99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34455,76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0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90,2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77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27D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6FCA65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1B7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08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21011,98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4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12855,73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7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61,2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80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EED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B7F9AA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B09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B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C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212CCE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C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0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457939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9A6D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B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2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A6E5F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7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6B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F44EF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sz w:val="20"/>
                <w:szCs w:val="20"/>
              </w:rPr>
              <w:t>9. Муниципальная программа "Содействие развитию субъектов малого и среднего предпринимательства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</w:rPr>
              <w:t>в Богородском муниципальном округе Нижегородской области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ru-RU"/>
              </w:rPr>
              <w:t>»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203F5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2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B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1005,20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55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8871">
            <w:pPr>
              <w:widowControl w:val="0"/>
              <w:spacing w:after="0" w:line="240" w:lineRule="auto"/>
              <w:ind w:firstLine="550" w:firstLineChars="250"/>
              <w:jc w:val="both"/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Число субъектов малого и среднего предпринимательства (включая индивидуальных предпринимателей)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-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2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>620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ед.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ab/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ab/>
            </w:r>
          </w:p>
          <w:p w14:paraId="7152799B">
            <w:pPr>
              <w:widowControl w:val="0"/>
              <w:spacing w:after="0" w:line="240" w:lineRule="auto"/>
              <w:ind w:firstLine="550" w:firstLineChars="250"/>
              <w:jc w:val="both"/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 xml:space="preserve"> Среднемесячная заработная плата работников на малых предприятиях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-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ab/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49528 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руб.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ab/>
            </w:r>
          </w:p>
          <w:p w14:paraId="5F04D707">
            <w:pPr>
              <w:widowControl w:val="0"/>
              <w:spacing w:after="0" w:line="240" w:lineRule="auto"/>
              <w:ind w:firstLine="550" w:firstLineChars="250"/>
              <w:jc w:val="both"/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Среднесписочная численность работников малых предприятий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-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ab/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4780 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чел.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ab/>
            </w:r>
          </w:p>
          <w:p w14:paraId="5C5137A0">
            <w:pPr>
              <w:widowControl w:val="0"/>
              <w:spacing w:after="0" w:line="240" w:lineRule="auto"/>
              <w:ind w:firstLine="550" w:firstLineChars="250"/>
              <w:jc w:val="both"/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Объем отгруженных товаров собственного производства, выполнено работ (оказано услуг) малыми предприятиями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-21345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млн руб.</w:t>
            </w:r>
          </w:p>
          <w:p w14:paraId="25479671">
            <w:pPr>
              <w:widowControl w:val="0"/>
              <w:spacing w:after="0" w:line="240" w:lineRule="auto"/>
              <w:ind w:firstLine="550" w:firstLineChars="250"/>
              <w:jc w:val="both"/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 xml:space="preserve"> Объем инвестиций в основной капитал малых предприятий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-</w: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ru-RU" w:eastAsia="zh-CN"/>
              </w:rPr>
              <w:tab/>
            </w:r>
            <w:r>
              <w:rPr>
                <w:rFonts w:hint="default"/>
                <w:sz w:val="22"/>
                <w:szCs w:val="22"/>
                <w:highlight w:val="none"/>
                <w:lang w:val="ru-RU" w:eastAsia="zh-CN"/>
              </w:rPr>
              <w:t xml:space="preserve">3098 </w:t>
            </w:r>
            <w:r>
              <w:rPr>
                <w:rFonts w:hint="default" w:ascii="Times New Roman" w:hAnsi="Times New Roman"/>
                <w:sz w:val="22"/>
                <w:szCs w:val="22"/>
                <w:highlight w:val="none"/>
                <w:lang w:val="ru-RU" w:eastAsia="zh-CN"/>
              </w:rPr>
              <w:t>млн руб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.</w:t>
            </w:r>
          </w:p>
          <w:p w14:paraId="30E48CDF">
            <w:pPr>
              <w:widowControl w:val="0"/>
              <w:spacing w:after="0" w:line="240" w:lineRule="auto"/>
              <w:ind w:firstLine="550" w:firstLineChars="250"/>
              <w:jc w:val="both"/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Количество самозанятых граждан, зафиксировавших свой статус и применяющих налоговый режим «Налог на профессиональный доход», нарастающим итогом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- 6666</w:t>
            </w:r>
          </w:p>
          <w:p w14:paraId="02EABAA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чел.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ab/>
            </w:r>
          </w:p>
          <w:p w14:paraId="1323DC28">
            <w:pPr>
              <w:widowControl w:val="0"/>
              <w:spacing w:after="0" w:line="240" w:lineRule="auto"/>
              <w:ind w:firstLine="550" w:firstLineChars="250"/>
              <w:jc w:val="both"/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Наличие действующих центров поддержки и развития предпринимательства на территории округа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- 1 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ед.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ab/>
            </w:r>
          </w:p>
          <w:p w14:paraId="6C314903">
            <w:pPr>
              <w:widowControl w:val="0"/>
              <w:spacing w:after="0" w:line="240" w:lineRule="auto"/>
              <w:ind w:firstLine="550" w:firstLineChars="250"/>
              <w:jc w:val="both"/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</w:pP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Оборот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 xml:space="preserve"> розничной торговли</w:t>
            </w:r>
            <w:r>
              <w:rPr>
                <w:rFonts w:hint="default"/>
                <w:sz w:val="22"/>
                <w:szCs w:val="22"/>
                <w:highlight w:val="white"/>
                <w:lang w:val="ru-RU" w:eastAsia="zh-CN"/>
              </w:rPr>
              <w:t xml:space="preserve">  -12868</w:t>
            </w:r>
            <w:r>
              <w:rPr>
                <w:rFonts w:hint="default" w:ascii="Times New Roman" w:hAnsi="Times New Roman"/>
                <w:sz w:val="22"/>
                <w:szCs w:val="22"/>
                <w:highlight w:val="white"/>
                <w:lang w:val="ru-RU" w:eastAsia="zh-CN"/>
              </w:rPr>
              <w:t>млн руб</w:t>
            </w:r>
          </w:p>
        </w:tc>
      </w:tr>
      <w:tr w14:paraId="1B7EE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81EC71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0A89F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D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16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1005,20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80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34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D2E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68C64F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134F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64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7C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82836B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4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5F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4A1DED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72C6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02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87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E52621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D3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5F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09A7AA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1F309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7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7E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345FBD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16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FC2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E3B2A9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10. Муниципальная программа "Развитие дорожного хозяйства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 Нижегородской области"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8972B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6D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266 098,18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12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255 275,32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64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95,9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159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автомобильных дорог общего пользования местного значения по которым проходят мероприятия по содержанию за счет средств консолидированного бюджета - 0,9 %</w:t>
            </w:r>
          </w:p>
          <w:p w14:paraId="04B93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автомобильных дорог общего пользования местного значения по которым проходят мероприятия по содержанию за счет средств местного бюджет - 100</w:t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ab/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%</w:t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ab/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отремонтированных автомобильных дорог общего пользования местного значения за счет средств консолидированного бюджета - 100%</w:t>
            </w:r>
          </w:p>
          <w:p w14:paraId="7AD0E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отремонтированных автомобильных дорог общего пользования местного значения за счет средств местного бюджета - 100%</w:t>
            </w:r>
          </w:p>
          <w:p w14:paraId="53364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отремонтированных пешеходных  тротуаров 100%</w:t>
            </w:r>
          </w:p>
          <w:p w14:paraId="5DCF0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проектов реализованных в рамках проекта инициативного бюджетирования «Вам решать!» - 100%</w:t>
            </w:r>
          </w:p>
          <w:p w14:paraId="4CE43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проектов реализованных в рамках проекта инициативного бюджетирования - 100%</w:t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ab/>
            </w:r>
          </w:p>
          <w:p w14:paraId="6749D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построенных автомобильных дорог - 100</w:t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ab/>
            </w:r>
          </w:p>
          <w:p w14:paraId="313A7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отремонтированных светофоров- 100</w:t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ab/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%</w:t>
            </w:r>
          </w:p>
          <w:p w14:paraId="7623D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вновь установленных и замененных светофоров- 100%</w:t>
            </w:r>
          </w:p>
          <w:p w14:paraId="6AA73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обустроенных искусственных неровностей- 100%</w:t>
            </w:r>
          </w:p>
          <w:p w14:paraId="278FC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479" w:firstLineChars="218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 xml:space="preserve">Доля нанесённой горизонтальной разметки -100% </w:t>
            </w:r>
          </w:p>
          <w:p w14:paraId="3EC5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479" w:firstLineChars="218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камер видеонаблюдения на дорогах общего пользования по которым проходит мероприятие по содержанию - 100%</w:t>
            </w:r>
          </w:p>
          <w:p w14:paraId="618C5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565" w:firstLineChars="257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вновь установленных камер видеонаблюдения на дорогах общего пользования - 100</w:t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ab/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%</w:t>
            </w:r>
          </w:p>
          <w:p w14:paraId="49170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479" w:firstLineChars="218"/>
              <w:jc w:val="both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приобретенных  знаков дорожного движения - 100%</w:t>
            </w: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ab/>
            </w:r>
          </w:p>
          <w:p w14:paraId="73511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left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>Доля участков автомобильных дорог, оборудованных пешеходными ограждениями - 100%</w:t>
            </w:r>
          </w:p>
          <w:p w14:paraId="07F4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left"/>
              <w:textAlignment w:val="auto"/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</w:pPr>
            <w:r>
              <w:rPr>
                <w:rFonts w:hint="default" w:eastAsia="Calibri"/>
                <w:b w:val="0"/>
                <w:bCs w:val="0"/>
                <w:sz w:val="22"/>
                <w:szCs w:val="22"/>
                <w:highlight w:val="none"/>
                <w:u w:val="none"/>
                <w:lang w:val="ru-RU" w:eastAsia="zh-CN"/>
              </w:rPr>
              <w:t xml:space="preserve"> Доля установленных остановочных павильонов - 100%</w:t>
            </w:r>
          </w:p>
        </w:tc>
      </w:tr>
      <w:tr w14:paraId="3B12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C6EA93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D9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2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172 978,84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65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162 156,06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A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93,7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80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653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D264C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0982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9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93 119,34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29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93 119,26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F6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99,9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5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2"/>
                <w:szCs w:val="22"/>
                <w:lang w:val="en-US" w:eastAsia="zh-CN" w:bidi="ar-SA"/>
              </w:rPr>
            </w:pPr>
          </w:p>
        </w:tc>
      </w:tr>
      <w:tr w14:paraId="18987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288DA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3A5A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CC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D107A6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B0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99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D51E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5E9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A1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6F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CA6250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61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1D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1374C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11. Муниципальная программа "Обеспечение населения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25800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1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646485,86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68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631911,22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55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97,7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2EC6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330" w:firstLineChars="150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Доля  нецентрализованных источников водоснабжения по которым оказана услуга  обслуживание и содержание 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ab/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ab/>
            </w:r>
          </w:p>
          <w:p w14:paraId="25642FEF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330" w:firstLineChars="150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Возмещение недополученных доходов в связи с оказанием услуг бань населению на территории Богородского муниципального округа Нижегородской области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ab/>
            </w:r>
          </w:p>
          <w:p w14:paraId="5FD72314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330" w:firstLineChars="150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Площадь муниципальных жилых и нежилых помещений в МКД на территории Богородского муниципального округа включенных в региональную программу капитального ремонта.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2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4479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кв.м</w:t>
            </w:r>
          </w:p>
          <w:p w14:paraId="142A4E8D">
            <w:pPr>
              <w:keepNext w:val="0"/>
              <w:keepLines w:val="0"/>
              <w:pageBreakBefore w:val="0"/>
              <w:widowControl/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330" w:firstLineChars="150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Количество МКД, с долей муниципальных жилых и нежилых помещений включенных в краткосрочный план  капитального ремонта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-12 шт.</w:t>
            </w:r>
          </w:p>
        </w:tc>
      </w:tr>
      <w:tr w14:paraId="245A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FD0A9A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3D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6C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138479,26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F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123904,62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97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89,5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C6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4CC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3167EE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8E72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2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170782,00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F7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170782,00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7C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A1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8C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1BA904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BDB1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C0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337224,60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D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337224,60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C3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7D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1B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6F1375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A502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93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30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F6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A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D5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4B878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12. Муниципальная программа "Обеспечение безопасности жизнедеятельности населения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 Нижегородской области"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3A111C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A5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91537,74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12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90977,35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9B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99,4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74C188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Доля людей, спасенных при чрезвычайных ситуациях и происшествиях, от количества людей, оказавшихся в зоне бедствия - 100%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45D39C82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Доля руководящего состава и должностных лиц, прошедших (к соответствующему году) подготовку по вопросам гражданской обороны, защиты от чрезвычайных ситуаций и террористических акций -55%</w:t>
            </w:r>
          </w:p>
          <w:p w14:paraId="25FEF5B2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Повышение индекса толерантности - 58%</w:t>
            </w:r>
          </w:p>
          <w:p w14:paraId="5E74377F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Повышение уровня этнокультурной компетентности населения -58%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4FA3FD86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Удельный  вес преступлений, совершенных несовершеннолетними или с их участием в общем количестве преступлений -2,1%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50677248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Доля семей, находящихся в социально-опасном положении, охваченных программным сопровождением - 100%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4A613693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Удельный  вес несовершеннолетних, получивших услугу отдыха и оздоровления, от общего количества несовершеннолетних, состоящих на профилактическом учете в КДН и ЗП - 100%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222C54EB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Доля подростков и молодёжи в возрасте от 14 до 24 лет, вовлечённых в профилактические мероприятия, по отношению к общей численности указанной категории  -92%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1B757E11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Доля площади территории Богородского муниципального округа Нижегородской области, охваченной техническими средствами оповещения - 84,2%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368562C1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Количество реализованных проектов- 1шт;</w:t>
            </w:r>
          </w:p>
          <w:p w14:paraId="3FEDB3D7">
            <w:pPr>
              <w:ind w:left="0" w:leftChars="0" w:firstLine="589" w:firstLineChars="26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Охват населения техническими средствами оповещения-100 %</w:t>
            </w:r>
          </w:p>
          <w:p w14:paraId="4BA1C05E">
            <w:pPr>
              <w:ind w:left="0" w:leftChars="0" w:firstLine="589" w:firstLineChars="26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Снижение удельного веса совершенных тяжких преступлений до 22 % - 22%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6BF0E7BE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Снижение удельного веса совершенных особо тяжких преступлений до 3,9 % - 3,9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%</w:t>
            </w: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ab/>
            </w:r>
          </w:p>
          <w:p w14:paraId="17E6492B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Снижение удельного веса преступлений, средней тяжести- 3 %</w:t>
            </w:r>
          </w:p>
          <w:p w14:paraId="675CB562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Увеличение доли граждан (от 18 до 35 лет) вовлеченных в мероприятия по правовому просвещению-0,39 %</w:t>
            </w:r>
          </w:p>
          <w:p w14:paraId="010114A2">
            <w:pPr>
              <w:ind w:left="0" w:leftChars="0" w:firstLine="479" w:firstLineChars="218"/>
              <w:jc w:val="both"/>
              <w:rPr>
                <w:rFonts w:hint="default"/>
                <w:b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Cs/>
                <w:sz w:val="22"/>
                <w:szCs w:val="22"/>
                <w:lang w:val="ru-RU" w:eastAsia="zh-CN"/>
              </w:rPr>
              <w:t>Доля людей, спасённых при пожарах, от количества людей, оказавшихся в зоне пожара - 100%</w:t>
            </w:r>
          </w:p>
        </w:tc>
      </w:tr>
      <w:tr w14:paraId="5CB8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E074C7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7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F9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81256,93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04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80696,54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DA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99,3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E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0F3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14DE7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0740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AE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10280,81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3E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10280,81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6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E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66B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B974E2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C7D13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6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74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701C07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DB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E29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371F4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DEE1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65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9D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2A0EA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20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BC4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755B7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13. Муниципальная программа "Информационное общество Богородского муниципального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а Нижегородской области"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2AF62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3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25669,10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3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25392,06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7F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98,9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D6B56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39" w:firstLineChars="109"/>
              <w:jc w:val="both"/>
              <w:textAlignment w:val="auto"/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>Доля населения Богородского муниципального округа проживающего на территории муниципального образования, в которых развёрнута система-112. - 100%</w:t>
            </w:r>
          </w:p>
          <w:p w14:paraId="2EF597E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39" w:firstLineChars="109"/>
              <w:jc w:val="both"/>
              <w:textAlignment w:val="auto"/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>Доля персонала системы-112 и сотрудников взаимодействующих ДДС, прошедших обучение, в общем требуемом количестве такого персонала по Богородскому муниципальному округу - 100</w:t>
            </w: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>%</w:t>
            </w:r>
          </w:p>
          <w:p w14:paraId="16B74D7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39" w:firstLineChars="109"/>
              <w:jc w:val="both"/>
              <w:textAlignment w:val="auto"/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>Уровень обеспеченности местными печатными СМИ жителей муниципальных образований Богородского муниципального округа - 100 Экз./тыс. чел</w:t>
            </w: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ab/>
            </w:r>
          </w:p>
          <w:p w14:paraId="7A0D461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39" w:firstLineChars="109"/>
              <w:jc w:val="both"/>
              <w:textAlignment w:val="auto"/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>Улучшение условий хранения архивных документов 500пог.м</w:t>
            </w:r>
          </w:p>
          <w:p w14:paraId="435D6D6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40" w:firstLineChars="0"/>
              <w:jc w:val="both"/>
              <w:textAlignment w:val="auto"/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>Создание страховых копий архивных документов -4%</w:t>
            </w:r>
          </w:p>
          <w:p w14:paraId="584E483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firstLine="240" w:firstLineChars="0"/>
              <w:jc w:val="both"/>
              <w:textAlignment w:val="auto"/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b w:val="0"/>
                <w:bCs/>
                <w:i w:val="0"/>
                <w:iCs/>
                <w:sz w:val="22"/>
                <w:szCs w:val="22"/>
                <w:lang w:val="ru-RU" w:eastAsia="zh-CN"/>
              </w:rPr>
              <w:t>Удовлетворенность населения Богородского муниципального округа Нижегородской области  получением услуги в МКУ "Богородский архив" - 100%</w:t>
            </w:r>
          </w:p>
        </w:tc>
      </w:tr>
      <w:tr w14:paraId="087EB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B11DA1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5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9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21499,70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DA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21431,13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9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99,7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48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CC1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A9FB04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EE51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8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4169,40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6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3960,93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B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ru-RU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32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01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A8E5B5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5FC4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66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54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645AA8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6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726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45D370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B45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88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E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270DB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D0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 w:firstLine="528" w:firstLineChars="24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8A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4A308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14. Муниципальная программа "Развитие муниципальной службы в Богородском муниципальном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е Нижегородской области"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27405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C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42.676,62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0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42.383,31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8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</w:t>
            </w:r>
            <w:r>
              <w:rPr>
                <w:rFonts w:hint="defaul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3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1C4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муниципальных правовых актов, принятие которых предусмотрено действующим законодательством  о муниципальной службе, и противодействию коррупции, от общего количества муниципальных правовых актов, принятие которых предусмотрено  - 100%</w:t>
            </w:r>
          </w:p>
          <w:p w14:paraId="5D06F1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муниципальных служащих, получивших дополнительное профессиональное образование (далее -ДПО) (профпереподготовка, повышение квалификации, участие в семинарах и т.п.), (от общей численности муниципальных служащих, нуждающихся в ДПО) - 100%</w:t>
            </w:r>
          </w:p>
          <w:p w14:paraId="6A1716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муниципальных служащих, прошедших аттестацию (от общей численности муниципальных служащих, подлежащих аттестации в отчётном периоде)-100%</w:t>
            </w:r>
          </w:p>
          <w:p w14:paraId="376D05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муниципальных служащих, представивших сведения  о доходах, расходах, об имуществе и обязательствах имущественного характера, от числа муниципальных служащих, обязанных представлять данные сведения - 100 %</w:t>
            </w:r>
          </w:p>
          <w:p w14:paraId="7FD75D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Доля руководителей структурных подразделений администрации округа, заработная плата которых зависит от оценки показателей результативности и эффективности их профессиональной служебной деятельности - 100 %</w:t>
            </w:r>
          </w:p>
          <w:p w14:paraId="2EB145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Информационная обеспеченность населения по вопросам муниципальной службы, противодействии коррупции - 100 %</w:t>
            </w:r>
          </w:p>
          <w:p w14:paraId="0C090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Удовлетворённость качеством обеспечения деятельности органов местного самоуправления -99%</w:t>
            </w:r>
          </w:p>
          <w:p w14:paraId="128B86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550" w:firstLineChars="250"/>
              <w:jc w:val="both"/>
              <w:textAlignment w:val="auto"/>
              <w:rPr>
                <w:rFonts w:hint="default" w:eastAsia="Times New Roman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>Уровень укомплектованности отдела кадров  штатными единицами - 75%</w:t>
            </w:r>
            <w:r>
              <w:rPr>
                <w:rFonts w:hint="default" w:eastAsia="Times New Roman"/>
                <w:sz w:val="22"/>
                <w:szCs w:val="22"/>
                <w:lang w:val="ru-RU" w:eastAsia="zh-CN"/>
              </w:rPr>
              <w:tab/>
            </w:r>
          </w:p>
        </w:tc>
      </w:tr>
      <w:tr w14:paraId="6647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E4484A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1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9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42.676,62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42.383,31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3B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3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C7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73B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8148C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05E0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0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9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D9100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4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117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D6DECB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CC18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0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5931B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F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7A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7CC9BB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EAA9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63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E18445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7F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45B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2FE4FD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15. Муниципальная программа "Формирование комфортной городской среды на территории Богородского муниципального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округ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а Нижегородской области" 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F834D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4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19 268,75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6E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19 268,75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3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9FE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left="0" w:leftChars="0" w:right="0" w:rightChars="0" w:firstLine="479" w:firstLineChars="218"/>
              <w:jc w:val="both"/>
              <w:textAlignment w:val="auto"/>
              <w:rPr>
                <w:rFonts w:hint="default"/>
                <w:color w:val="000000"/>
                <w:kern w:val="2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lang w:val="ru-RU" w:eastAsia="zh-CN"/>
              </w:rPr>
              <w:t>Доля  благоустроенных общественных территорий от общего количества общественных территорий, подлежащих к благоустройству - 85%</w:t>
            </w:r>
          </w:p>
          <w:p w14:paraId="6CD313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left="0" w:leftChars="0" w:right="0" w:rightChars="0" w:firstLine="479" w:firstLineChars="218"/>
              <w:jc w:val="both"/>
              <w:textAlignment w:val="auto"/>
              <w:rPr>
                <w:rFonts w:hint="default"/>
                <w:color w:val="000000"/>
                <w:kern w:val="2"/>
                <w:sz w:val="22"/>
                <w:szCs w:val="22"/>
                <w:lang w:val="ru-RU" w:eastAsia="zh-CN"/>
              </w:rPr>
            </w:pPr>
            <w:r>
              <w:rPr>
                <w:rFonts w:hint="default"/>
                <w:color w:val="000000"/>
                <w:kern w:val="2"/>
                <w:sz w:val="22"/>
                <w:szCs w:val="22"/>
                <w:lang w:val="ru-RU" w:eastAsia="zh-CN"/>
              </w:rPr>
              <w:t>Количество благоустроенных общественных пространств-17шт</w:t>
            </w:r>
          </w:p>
        </w:tc>
      </w:tr>
      <w:tr w14:paraId="77CB8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CD7E1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D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1 926,88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9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1 926,88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0B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F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D4B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5CB236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C5BC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5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693,68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B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693,68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7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4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69B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7010BC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CA5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1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16 648,20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1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16 648,20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44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1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26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D6BFC1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F19E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1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B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0A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A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1D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B4D4DA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. Муниципальная программа "</w:t>
            </w:r>
            <w:r>
              <w:rPr>
                <w:rFonts w:hint="default" w:ascii="Times New Roman" w:hAnsi="Times New Roman"/>
                <w:b/>
                <w:sz w:val="20"/>
                <w:szCs w:val="20"/>
              </w:rPr>
              <w:t>Улучшение качества жизни и обеспечение безопасности жителей Богородского муниципального округа Нижегородской области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" 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29D913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3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937,72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4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349,46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E6115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97,5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87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вывезеного ТКО с территории Богородского муниципального округа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ab/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100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26009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приобретенных контейнеров (бункеров) от запланированных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-100%</w:t>
            </w:r>
          </w:p>
          <w:p w14:paraId="31B3E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кладбищ, по которым проходят мероприятия по содержанию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-100%</w:t>
            </w:r>
          </w:p>
          <w:p w14:paraId="138DE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Доля зеленых насаждений, представляющих опасность 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- 65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ab/>
            </w:r>
          </w:p>
          <w:p w14:paraId="1F65B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40" w:leftChars="100" w:right="238" w:rightChars="0" w:firstLine="345" w:firstLineChars="157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Содержание и реконструкция памятников 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- 66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</w:t>
            </w:r>
          </w:p>
          <w:p w14:paraId="532BF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Доля благоустроенных дворовых территорий от общего количества дворовых территорий, подлежащих благоустройству в соответствующем году 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- 46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3B238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проектов реализованных в рамках инициативного бюджетирования «Вам решать!»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ab/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ab/>
            </w:r>
          </w:p>
          <w:p w14:paraId="16D50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реализованных мероприятий по борьбе с борщевиком Сосновского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212F5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линий уличного освещения по которым проходят мероприятия по содержанию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00D49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обслуживаемых контейнерных площадок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34756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мероприятий реализованных за счет гранта «Лучшее муниципальное образование»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64146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памятников отремонтированных за счет консолидированного бюджета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08FED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территорий по которым проходили мероприятия по ремонту и благоустройству общественных и дворовых территорий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ab/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7F814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камер видеонаблюдения на общественных пространствах по которым проходят мероприятия по содержанию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6D75D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вновь установленных камер видеонаблюдения на общественных пространствах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-100%</w:t>
            </w:r>
          </w:p>
          <w:p w14:paraId="0D268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пляжей по  которым проходят мероприятия по содержанию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4391E9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фонтанов по  которым проходят мероприятия по содержанию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 xml:space="preserve"> - 100</w:t>
            </w: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%</w:t>
            </w:r>
          </w:p>
          <w:p w14:paraId="3ECEE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3" w:leftChars="0" w:right="238" w:rightChars="0" w:firstLine="569" w:firstLineChars="259"/>
              <w:jc w:val="both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Доля проведенных мероприятий по участию в организации деятельности по накоплению и транспортированию ТКО</w:t>
            </w:r>
            <w:r>
              <w:rPr>
                <w:rFonts w:hint="default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-100%</w:t>
            </w:r>
          </w:p>
        </w:tc>
      </w:tr>
      <w:tr w14:paraId="67E6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8E6F5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B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9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200937,44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199141,78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F4AF9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99,1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3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868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1537B7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D89F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27000,28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B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23207,68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2F5D2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ru-RU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6,0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B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6B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D66751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7CA5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7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D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1A9A1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3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AF4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A6F484">
            <w:pPr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611A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F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8A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F801A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1E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F33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29384E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. Муниципальная программа</w:t>
            </w: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SimSu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"Энергосбережение и повышение энергетической эффективности на территории Богородского муниципального округа Нижегородской области"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7105A">
            <w:pPr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86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43729,80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8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9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</w:t>
            </w:r>
          </w:p>
        </w:tc>
        <w:tc>
          <w:tcPr>
            <w:tcW w:w="5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4F3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Доля объемов ТЭ, расчеты за которую население осуществляются с использованием приборов учета, в общем объ</w:t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ё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ме ТЭ,потребляемой населением на территории муниципального округа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 xml:space="preserve"> - 44,2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%</w:t>
            </w:r>
          </w:p>
          <w:p w14:paraId="0247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Доля объемов ЭЭ, расчеты за которую население осуществляются с использованием приборов учета, в общем объеме ЭЭ,потребляемой населением на территории муниципального округа</w:t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 xml:space="preserve"> - 98,3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%</w:t>
            </w:r>
          </w:p>
          <w:p w14:paraId="09324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Доля объемов воды, расчеты за которую осуществляются с использованием приборов учета в общем объеме воды, потребляемой населением на территории округа</w:t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 xml:space="preserve"> - 85,9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%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00B2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 xml:space="preserve">Доля МКД, в перечень работ по капитальному ремонту которых включены работы с </w:t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э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нергоэффективными мероприятиями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- 45,5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%</w:t>
            </w: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2776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Доля энергоэффективных источников света в системе уличного освещения</w:t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 xml:space="preserve"> -98,6%</w:t>
            </w:r>
          </w:p>
          <w:p w14:paraId="6784D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Доля муниципальных учреждений, которые реализуют деятельность по энергосбережению и повышению энергоэффективности на основании разработанных программ энергосбережения, от общего количества муниципальных учреждений -91,8%</w:t>
            </w:r>
          </w:p>
          <w:p w14:paraId="622EF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Доля муниципальных помещений, оснащенных индивидуальными приборами учета расхода холодной воды, от общего количества жилых муниципальных помещений -38%</w:t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Доля выявленных бесхозяйных объектов системы коммунальной инфраструктуры, обеспеченных эксплуатацией, от общего количества выявленных бесхозяйных объектов -100%</w:t>
            </w:r>
          </w:p>
          <w:p w14:paraId="32949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Удельный расход топлива на производство единицы тепловой энергии, отпускаемой с коллекторов источников тепловой энергии по котельным, находящимся в муниципальной собственности и переданным по договору аренды</w:t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ab/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- 171,6 кг.у.т./Гкал</w:t>
            </w:r>
          </w:p>
          <w:p w14:paraId="6A34C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Выполнение плановых показателей по информированию муниципальных учреждений, предприятий о требованиях законодательства, о мероприятиях в области энергосбережения и повышения энергетической эффективности - 100%</w:t>
            </w: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ab/>
            </w:r>
          </w:p>
          <w:p w14:paraId="63FAD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Lines="0" w:afterLines="0"/>
              <w:ind w:firstLine="550" w:firstLineChars="250"/>
              <w:jc w:val="left"/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</w:pPr>
            <w:r>
              <w:rPr>
                <w:rFonts w:hint="default" w:eastAsia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 w:eastAsia="zh-CN"/>
              </w:rPr>
              <w:t>Выполнение плановых показателей по проведению уроков «Энергосбережение» в образовательных учреждениях - 100%</w:t>
            </w:r>
          </w:p>
        </w:tc>
      </w:tr>
      <w:tr w14:paraId="3412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78B8F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C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SimSu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Местный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9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19,80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A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1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CD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7D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F0FE1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44B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A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5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027E3C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FF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56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55788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CB56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9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B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B8D25">
            <w:pPr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4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D1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E62E4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086A9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B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43710,00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5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6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</w:t>
            </w:r>
          </w:p>
        </w:tc>
        <w:tc>
          <w:tcPr>
            <w:tcW w:w="5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54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5FDD4C2"/>
    <w:sectPr>
      <w:pgSz w:w="16838" w:h="11906" w:orient="landscape"/>
      <w:pgMar w:top="840" w:right="1440" w:bottom="74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464"/>
    <w:rsid w:val="010977C9"/>
    <w:rsid w:val="01291BE9"/>
    <w:rsid w:val="018A14FB"/>
    <w:rsid w:val="02A02F97"/>
    <w:rsid w:val="02B67D8F"/>
    <w:rsid w:val="03127FE1"/>
    <w:rsid w:val="038D7DFB"/>
    <w:rsid w:val="053061AB"/>
    <w:rsid w:val="09900229"/>
    <w:rsid w:val="09B0475E"/>
    <w:rsid w:val="09C15397"/>
    <w:rsid w:val="09CA7729"/>
    <w:rsid w:val="09CF01D3"/>
    <w:rsid w:val="0AD32C20"/>
    <w:rsid w:val="0B241F72"/>
    <w:rsid w:val="0CDE20F3"/>
    <w:rsid w:val="0D14540F"/>
    <w:rsid w:val="0D9C5057"/>
    <w:rsid w:val="0DDE73F0"/>
    <w:rsid w:val="0E1873FF"/>
    <w:rsid w:val="0F2A6620"/>
    <w:rsid w:val="10424E90"/>
    <w:rsid w:val="10D64CB1"/>
    <w:rsid w:val="11771BCE"/>
    <w:rsid w:val="12443D9F"/>
    <w:rsid w:val="13C118AE"/>
    <w:rsid w:val="13E2231D"/>
    <w:rsid w:val="13E70891"/>
    <w:rsid w:val="14C67920"/>
    <w:rsid w:val="14FE61F5"/>
    <w:rsid w:val="1597470B"/>
    <w:rsid w:val="16142CBF"/>
    <w:rsid w:val="16350810"/>
    <w:rsid w:val="17D81651"/>
    <w:rsid w:val="190E194F"/>
    <w:rsid w:val="191D7418"/>
    <w:rsid w:val="1998593B"/>
    <w:rsid w:val="1A7E77B2"/>
    <w:rsid w:val="1B4355C5"/>
    <w:rsid w:val="1BBC0916"/>
    <w:rsid w:val="1C277EF5"/>
    <w:rsid w:val="1CA07AFD"/>
    <w:rsid w:val="1CAC319D"/>
    <w:rsid w:val="1D032869"/>
    <w:rsid w:val="1E9C594F"/>
    <w:rsid w:val="1EDA40FE"/>
    <w:rsid w:val="20033158"/>
    <w:rsid w:val="208E2509"/>
    <w:rsid w:val="20985882"/>
    <w:rsid w:val="20FE6D16"/>
    <w:rsid w:val="2161767E"/>
    <w:rsid w:val="21D80CBA"/>
    <w:rsid w:val="21E871D0"/>
    <w:rsid w:val="243E7AE2"/>
    <w:rsid w:val="24CC1679"/>
    <w:rsid w:val="25252FC0"/>
    <w:rsid w:val="26B93DAB"/>
    <w:rsid w:val="26ED20FF"/>
    <w:rsid w:val="27743D72"/>
    <w:rsid w:val="29030BB3"/>
    <w:rsid w:val="2A653781"/>
    <w:rsid w:val="2B250BAE"/>
    <w:rsid w:val="2BB67652"/>
    <w:rsid w:val="2CED0D04"/>
    <w:rsid w:val="2D714C3A"/>
    <w:rsid w:val="2DAB7286"/>
    <w:rsid w:val="2E4415CC"/>
    <w:rsid w:val="2F112F3F"/>
    <w:rsid w:val="30C4590F"/>
    <w:rsid w:val="317B776B"/>
    <w:rsid w:val="31CF76B1"/>
    <w:rsid w:val="33100569"/>
    <w:rsid w:val="331F2CEA"/>
    <w:rsid w:val="3321225F"/>
    <w:rsid w:val="3389711C"/>
    <w:rsid w:val="3414429D"/>
    <w:rsid w:val="3472193A"/>
    <w:rsid w:val="35530148"/>
    <w:rsid w:val="370A6652"/>
    <w:rsid w:val="38FE1F34"/>
    <w:rsid w:val="390945C5"/>
    <w:rsid w:val="3A293264"/>
    <w:rsid w:val="3B812B03"/>
    <w:rsid w:val="3B857A78"/>
    <w:rsid w:val="3B9206CC"/>
    <w:rsid w:val="3C731E07"/>
    <w:rsid w:val="3E0058FB"/>
    <w:rsid w:val="3E713170"/>
    <w:rsid w:val="3EC32544"/>
    <w:rsid w:val="40714CC9"/>
    <w:rsid w:val="410C67BD"/>
    <w:rsid w:val="4112405F"/>
    <w:rsid w:val="41BA4BDC"/>
    <w:rsid w:val="4422491F"/>
    <w:rsid w:val="44C31FF2"/>
    <w:rsid w:val="45DE43EA"/>
    <w:rsid w:val="481A4C84"/>
    <w:rsid w:val="4940766D"/>
    <w:rsid w:val="4B3A54CA"/>
    <w:rsid w:val="4B6473C4"/>
    <w:rsid w:val="4BFD13F1"/>
    <w:rsid w:val="4F9E04C0"/>
    <w:rsid w:val="50477F4E"/>
    <w:rsid w:val="51E604EC"/>
    <w:rsid w:val="558546E2"/>
    <w:rsid w:val="56442024"/>
    <w:rsid w:val="56501C26"/>
    <w:rsid w:val="56BE3E46"/>
    <w:rsid w:val="56C9637C"/>
    <w:rsid w:val="571839AA"/>
    <w:rsid w:val="57867819"/>
    <w:rsid w:val="58697492"/>
    <w:rsid w:val="590E6CAD"/>
    <w:rsid w:val="5A7856D1"/>
    <w:rsid w:val="5E985BC8"/>
    <w:rsid w:val="5F32681F"/>
    <w:rsid w:val="60B006B1"/>
    <w:rsid w:val="62FC687C"/>
    <w:rsid w:val="6316083C"/>
    <w:rsid w:val="63A71FCE"/>
    <w:rsid w:val="64411125"/>
    <w:rsid w:val="66AD0917"/>
    <w:rsid w:val="68704C05"/>
    <w:rsid w:val="68A15BDB"/>
    <w:rsid w:val="6A1349D7"/>
    <w:rsid w:val="6A492203"/>
    <w:rsid w:val="6AE30E79"/>
    <w:rsid w:val="6AE51FF0"/>
    <w:rsid w:val="6B74554E"/>
    <w:rsid w:val="6B8615DD"/>
    <w:rsid w:val="6BDD6C2E"/>
    <w:rsid w:val="6C7E3776"/>
    <w:rsid w:val="6D5E45E1"/>
    <w:rsid w:val="6D6A2AB8"/>
    <w:rsid w:val="6E78537E"/>
    <w:rsid w:val="6EB244AB"/>
    <w:rsid w:val="71537887"/>
    <w:rsid w:val="720A3DDF"/>
    <w:rsid w:val="733F0BC4"/>
    <w:rsid w:val="736C7A5D"/>
    <w:rsid w:val="740D5010"/>
    <w:rsid w:val="778D1AF4"/>
    <w:rsid w:val="77931B65"/>
    <w:rsid w:val="77A342F7"/>
    <w:rsid w:val="79011023"/>
    <w:rsid w:val="79A819A4"/>
    <w:rsid w:val="7A2E5857"/>
    <w:rsid w:val="7ACE4416"/>
    <w:rsid w:val="7CE2407C"/>
    <w:rsid w:val="7CEE6C48"/>
    <w:rsid w:val="7E5D27B5"/>
    <w:rsid w:val="7E660DD3"/>
    <w:rsid w:val="7F416432"/>
    <w:rsid w:val="7F4B3408"/>
    <w:rsid w:val="7F91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Body Text"/>
    <w:basedOn w:val="1"/>
    <w:qFormat/>
    <w:uiPriority w:val="67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customStyle="1" w:styleId="7">
    <w:name w:val="О3fс3fн3fо3fв3fн3fо3fй3f ш3fр3fи3fф3fт3f а3fб3fз3fа3fц3fа3f"/>
    <w:qFormat/>
    <w:uiPriority w:val="6"/>
  </w:style>
  <w:style w:type="paragraph" w:customStyle="1" w:styleId="8">
    <w:name w:val="Основной текст с отступом 31"/>
    <w:basedOn w:val="1"/>
    <w:qFormat/>
    <w:uiPriority w:val="0"/>
    <w:pPr>
      <w:spacing w:before="0" w:after="120"/>
      <w:ind w:left="283" w:right="0" w:firstLine="0"/>
    </w:pPr>
    <w:rPr>
      <w:sz w:val="16"/>
      <w:szCs w:val="16"/>
    </w:rPr>
  </w:style>
  <w:style w:type="paragraph" w:styleId="9">
    <w:name w:val="List Paragraph"/>
    <w:basedOn w:val="1"/>
    <w:qFormat/>
    <w:uiPriority w:val="99"/>
    <w:pPr>
      <w:spacing w:after="160" w:line="259" w:lineRule="auto"/>
      <w:ind w:left="720"/>
    </w:p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2023-03-21T12:12:00Z</dcterms:created>
  <dc:creator>User</dc:creator>
  <cp:lastModifiedBy>Дарья</cp:lastModifiedBy>
  <cp:lastPrinted>2024-04-03T08:29:00Z</cp:lastPrinted>
  <dcterms:modified xsi:type="dcterms:W3CDTF">2026-04-17T05:13:29Z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B6DF00A1937C4562A799689BD3255BB9_13</vt:lpwstr>
  </property>
</Properties>
</file>